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武汉市第九医院污水站运维服务招标</w:t>
            </w:r>
            <w:r>
              <w:rPr>
                <w:rFonts w:hint="eastAsia" w:ascii="宋体" w:hAnsi="宋体" w:cs="宋体"/>
                <w:sz w:val="24"/>
                <w:szCs w:val="24"/>
                <w:lang w:val="hr-HR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B2D2B"/>
    <w:rsid w:val="48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Paragraphs>40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2024-12-19T06:47:29Z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</Properties>
</file>